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225" w:before="0" w:line="300" w:lineRule="atLeast"/>
        <w:jc w:val="both"/>
      </w:pPr>
      <w:r>
        <w:rPr>
          <w:rFonts w:ascii="Verdana" w:cs="Times New Roman" w:eastAsia="Times New Roman" w:hAnsi="Verdana"/>
          <w:color w:val="525252"/>
          <w:sz w:val="21"/>
          <w:szCs w:val="21"/>
          <w:lang w:eastAsia="es-ES"/>
        </w:rPr>
        <w:t>Mº de Economía y Competitividad</w:t>
      </w:r>
    </w:p>
    <w:p>
      <w:pPr>
        <w:pStyle w:val="style0"/>
        <w:shd w:fill="FFFFFF" w:val="clear"/>
        <w:spacing w:after="0" w:before="0" w:line="300" w:lineRule="atLeast"/>
      </w:pPr>
      <w:r>
        <w:rPr>
          <w:rFonts w:ascii="Verdana" w:cs="Times New Roman" w:eastAsia="Times New Roman" w:hAnsi="Verdana"/>
          <w:color w:val="525252"/>
          <w:sz w:val="17"/>
          <w:szCs w:val="17"/>
          <w:lang w:eastAsia="es-ES"/>
        </w:rPr>
        <w:br/>
      </w:r>
    </w:p>
    <w:p>
      <w:pPr>
        <w:pStyle w:val="style0"/>
        <w:shd w:fill="FFFFFF" w:val="clear"/>
        <w:spacing w:after="225" w:before="0" w:line="300" w:lineRule="atLeast"/>
        <w:jc w:val="both"/>
      </w:pPr>
      <w:r>
        <w:rPr>
          <w:rFonts w:ascii="Verdana" w:cs="Times New Roman" w:eastAsia="Times New Roman" w:hAnsi="Verdana"/>
          <w:b/>
          <w:bCs/>
          <w:color w:val="525252"/>
          <w:sz w:val="21"/>
          <w:szCs w:val="21"/>
          <w:lang w:eastAsia="es-ES"/>
        </w:rPr>
        <w:t>Resolución de 24 de enero de 2012, de la Dirección General de Seguros y Fondos de Pensiones, por la que se publican las cuantías de las indemnizaciones por muerte, lesiones permanentes e incapacidad temporal que resultarán de aplicar durante 2012 el sistema para valoración de los daños y perjuicios causados a las personas en accidentes de circulación.</w:t>
      </w:r>
    </w:p>
    <w:p>
      <w:pPr>
        <w:pStyle w:val="style0"/>
        <w:shd w:fill="FFFFFF" w:val="clear"/>
        <w:spacing w:after="225" w:before="0" w:line="300" w:lineRule="atLeast"/>
        <w:jc w:val="both"/>
      </w:pPr>
      <w:r>
        <w:rPr>
          <w:rFonts w:ascii="Verdana" w:cs="Times New Roman" w:eastAsia="Times New Roman" w:hAnsi="Verdana"/>
          <w:color w:val="9D1F1F"/>
          <w:sz w:val="17"/>
          <w:szCs w:val="17"/>
          <w:lang w:eastAsia="es-ES"/>
        </w:rPr>
        <w:t>BOE 31/2012, de 6 de febrero de 2012 Ref Boletín: 12/01780</w:t>
      </w:r>
    </w:p>
    <w:p>
      <w:pPr>
        <w:pStyle w:val="style0"/>
        <w:numPr>
          <w:ilvl w:val="0"/>
          <w:numId w:val="1"/>
        </w:numPr>
        <w:shd w:fill="FFFFFF" w:val="clear"/>
        <w:spacing w:after="0" w:before="0" w:line="300" w:lineRule="atLeast"/>
        <w:ind w:hanging="0" w:left="0" w:right="0"/>
        <w:jc w:val="both"/>
      </w:pPr>
      <w:r>
        <w:rPr>
          <w:rFonts w:ascii="Verdana" w:cs="Times New Roman" w:eastAsia="Times New Roman" w:hAnsi="Verdana"/>
          <w:color w:val="0087AD"/>
          <w:sz w:val="17"/>
          <w:lang w:eastAsia="es-ES"/>
        </w:rPr>
        <w:t>ÍNDICE</w:t>
      </w:r>
    </w:p>
    <w:p>
      <w:pPr>
        <w:pStyle w:val="style0"/>
        <w:numPr>
          <w:ilvl w:val="0"/>
          <w:numId w:val="2"/>
        </w:numPr>
        <w:shd w:fill="FFFFFF" w:val="clear"/>
        <w:spacing w:after="0" w:before="0" w:line="300" w:lineRule="atLeast"/>
        <w:ind w:hanging="0" w:left="0" w:right="0"/>
        <w:jc w:val="both"/>
      </w:pPr>
      <w:r>
        <w:rPr>
          <w:rFonts w:ascii="Verdana" w:cs="Times New Roman" w:eastAsia="Times New Roman" w:hAnsi="Verdana"/>
          <w:color w:val="0087AD"/>
          <w:sz w:val="17"/>
          <w:lang w:eastAsia="es-ES"/>
        </w:rPr>
        <w:t>VOCES ASOCIADAS</w:t>
      </w:r>
    </w:p>
    <w:p>
      <w:pPr>
        <w:pStyle w:val="style0"/>
        <w:numPr>
          <w:ilvl w:val="0"/>
          <w:numId w:val="3"/>
        </w:numPr>
        <w:shd w:fill="FFFFFF" w:val="clear"/>
        <w:spacing w:after="0" w:before="0" w:line="300" w:lineRule="atLeast"/>
        <w:ind w:hanging="0" w:left="0" w:right="0"/>
        <w:jc w:val="both"/>
      </w:pPr>
      <w:r>
        <w:rPr>
          <w:rFonts w:ascii="Verdana" w:cs="Times New Roman" w:eastAsia="Times New Roman" w:hAnsi="Verdana"/>
          <w:color w:val="0087AD"/>
          <w:sz w:val="17"/>
          <w:lang w:eastAsia="es-ES"/>
        </w:rPr>
        <w:t>FICHA TÉCNICA</w:t>
      </w:r>
    </w:p>
    <w:p>
      <w:pPr>
        <w:pStyle w:val="style0"/>
        <w:shd w:fill="FFFFFF" w:val="clear"/>
        <w:spacing w:after="28" w:before="28" w:line="300" w:lineRule="atLeast"/>
        <w:jc w:val="both"/>
      </w:pPr>
      <w:bookmarkStart w:id="0" w:name="LOC_INI"/>
      <w:bookmarkEnd w:id="0"/>
      <w:r>
        <w:rPr>
          <w:rFonts w:ascii="Verdana" w:cs="Times New Roman" w:eastAsia="Times New Roman" w:hAnsi="Verdana"/>
          <w:color w:val="525252"/>
          <w:sz w:val="17"/>
          <w:szCs w:val="17"/>
          <w:lang w:eastAsia="es-ES"/>
        </w:rPr>
        <w:t>El texto refundido de la Ley sobre Responsabilidad Civil y Seguro en la Circulación de Vehículos a Motor, aprobado por el Real Decreto Legislativo 8/2004, de 29 de octubre, establece que anualmente, con efectos de primero de enero de cada año, deberán actualizarse las cuantías indemnizatorias que se recogen en el sistema para la valoración de los daños y perjuicios causados a las personas en accidentes de circulación y, en su defecto, quedarán automáticamente actualizadas en el porcentaje del índice general de precios al consumo correspondiente al año natural inmediatamente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este último supuesto, y con la finalidad de facilitar el conocimiento y aplicación del sistema, la Dirección General de Seguros y Fondos de Pensiones debe dar publicidad a las cuantías resultantes.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Habida cuenta que según datos del Instituto Nacional de Estadística, el índice general de precios al consumo se incrementó en el 2,4 por ciento en el periodo de referencia, procede actualizar en tal cuantía para el ejercicio de 2012 el sistema de valoración citado. A estos efectos se toman como base las cifras contenidas en el anexo del texto refundido de la Ley sobre Responsabilidad Civil y Seguro en la Circulación de Vehículos a Motor, una vez incrementadas en las actualizaciones correspondientes a los años 2005 a 2011.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Sobre la base de cuanto antecede, esta Dirección General de Seguros y Fondos de Pensiones ha acordado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Dar publicidad a través de esta Resolución a las indemnizaciones, vigentes durante el año 2012, para caso de muerte, lesiones permanentes e incapacidades temporales, que resultan de aplicar el sistema para la valoración de los daños y perjuicios causados a las personas en accidentes de circulación, recogido en el texto refundido de la Ley sobre Responsabilidad Civil y Seguro en la Circulación de Vehículos a Motor, aprobado por el Real Decreto Legislativo 8/2004, de 29 de octubre, incorporándose como anexo las cuantías actualizadas.</w:t>
      </w:r>
    </w:p>
    <w:p>
      <w:pPr>
        <w:pStyle w:val="style0"/>
        <w:shd w:fill="FFFFFF" w:val="clear"/>
        <w:spacing w:after="28" w:before="28" w:line="300" w:lineRule="atLeast"/>
        <w:jc w:val="both"/>
      </w:pPr>
      <w:bookmarkStart w:id="1" w:name="LOC_ANX.UN"/>
      <w:bookmarkStart w:id="2" w:name="SE1"/>
      <w:bookmarkEnd w:id="1"/>
      <w:bookmarkEnd w:id="2"/>
      <w:r>
        <w:rPr>
          <w:rFonts w:ascii="Verdana" w:cs="Times New Roman" w:eastAsia="Times New Roman" w:hAnsi="Verdana"/>
          <w:b/>
          <w:bCs/>
          <w:color w:val="0087AD"/>
          <w:sz w:val="21"/>
          <w:lang w:eastAsia="es-ES"/>
        </w:rPr>
        <w:t>ANEXO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w:t>
      </w:r>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TABLA I</w:t>
      </w:r>
      <w:hyperlink r:id="rId2">
        <w:r>
          <w:rPr>
            <w:rStyle w:val="style20"/>
            <w:rFonts w:ascii="Verdana" w:cs="Times New Roman" w:eastAsia="Times New Roman" w:hAnsi="Verdana"/>
            <w:b/>
            <w:bCs/>
            <w:color w:val="0087AD"/>
            <w:sz w:val="17"/>
            <w:u w:val="single"/>
            <w:lang w:eastAsia="es-ES"/>
          </w:rPr>
          <w:t> EDL 2004/152063</w:t>
        </w:r>
      </w:hyperlink>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Indemnizaciones básicas por muerte (incluidos daños morales)</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5643"/>
        <w:gridCol w:w="2823"/>
      </w:tblGrid>
      <w:tr>
        <w:trPr>
          <w:cantSplit w:val="false"/>
        </w:trPr>
        <w:tc>
          <w:tcPr>
            <w:tcW w:type="dxa" w:w="5643"/>
            <w:vMerge w:val="restart"/>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3" w:name="LOC_ANX.UN#TAB.0"/>
            <w:bookmarkStart w:id="4" w:name="LOC_ANX.UN.TAB.0"/>
            <w:bookmarkEnd w:id="3"/>
            <w:bookmarkEnd w:id="4"/>
            <w:r>
              <w:rPr>
                <w:rFonts w:ascii="Times New Roman" w:cs="Times New Roman" w:eastAsia="Times New Roman" w:hAnsi="Times New Roman"/>
                <w:b/>
                <w:bCs/>
                <w:sz w:val="14"/>
                <w:szCs w:val="14"/>
                <w:lang w:eastAsia="es-ES"/>
              </w:rPr>
              <w:t>Perjudicados/beneficiarios (1) de la indemnización</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(por grupos excluyentes)</w:t>
            </w:r>
          </w:p>
        </w:tc>
        <w:tc>
          <w:tcPr>
            <w:tcW w:type="dxa" w:w="2823"/>
            <w:gridSpan w:val="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Edad de la víctima</w:t>
            </w:r>
          </w:p>
        </w:tc>
      </w:tr>
      <w:tr>
        <w:trPr>
          <w:cantSplit w:val="false"/>
        </w:trPr>
        <w:tc>
          <w:tcPr>
            <w:tcW w:type="dxa" w:w="5643"/>
            <w:vMerge w:val="continue"/>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0" w:line="100" w:lineRule="atLeast"/>
            </w:pPr>
            <w:r>
              <w:rPr>
                <w:rFonts w:ascii="Times New Roman" w:cs="Times New Roman" w:eastAsia="Times New Roman" w:hAnsi="Times New Roman"/>
                <w:b/>
                <w:bCs/>
                <w:sz w:val="14"/>
                <w:szCs w:val="14"/>
                <w:lang w:eastAsia="es-ES"/>
              </w:rPr>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Hasta 65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De 66 a 80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Más de 80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Grupo I</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Víctima con cónyuge (2)</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Al cónyuge</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111.458,83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83.594,11</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55.729,41</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hijo menor</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hijo mayor:</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menor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6.966,18</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mayor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4.644,12</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padre con o sin convivencia con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hermano menor huérfano y dependiente de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Grupo II</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Víctima sin cónyuge (3) y con hijos menores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Sólo un hijo</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167.188,22</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167.188,22</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167.188,22</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Sólo un hijo, de víctima separada legalmente</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130.035,29</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130.035,29</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130.035,29</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Por cada hijo menor más (4)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hijo mayor que concurra con menores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6.966,18</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padre con o sin convivencia con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hermano menor huérfano y dependiente de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Grupo III</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Víctima sin cónyuge (3) y con todos sus hijos mayores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III.1 Hasta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un solo hijo</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120.747,06</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120.747,06</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69.661,76</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un solo hijo, de víctima separada legalmente</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92.882,35</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92.882,35</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55.729,41</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Por cada otro hijo menor de veinticinco años (4)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27.864,70</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27.864,70</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13.932,35</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hijo mayor de veinticinco años que concurra con menores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4.644,12</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padre con o sin convivencia con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hermano menor huérfano y dependiente de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III.2 Más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un solo hijo</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55.729,41</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55.729,41</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37.152,94</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Por cada otro hijo mayor de veinticinco años más (4)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4.644,12</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padre con o sin convivencia con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hermano menor huérfano y dependiente de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Grupo IV</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Víctima sin cónyuge (3) ni hijos y con ascendientes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Padres (5):</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Convivencia con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102.170,58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74.305,87</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Sin convivencia con la víctima</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74.305,87</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55.729,41</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Abuelo sin padres (6):</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uno</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27.864,70</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hermano menor de edad en convivencia con la víctima en los dos casos anteriores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Grupo V</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Víctima con hermanos solamente</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V.1 Con hermanos menores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un solo hermano</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74.305,87</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55.729,41</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37.152,94</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Por cada otro hermano menor de veinticinco años (7)</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cada hermano mayor de veinticinco años que concurra con hermanos menores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V.2 Sin hermanos menores de veinticinco años: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un solo hermano</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46.441,18</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27.864,70</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r>
      <w:tr>
        <w:trPr>
          <w:cantSplit w:val="false"/>
        </w:trPr>
        <w:tc>
          <w:tcPr>
            <w:tcW w:type="dxa" w:w="564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Por cada otro hermano (7)</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7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9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carácter general: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Cuando se trate de hijos, se incluirán también los adoptivos.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Cuando se fijen cuantías distintas según la edad del perjudicado o beneficiario se aplicará la edad que tuviese éste en la fecha en que se produjo el accidente de la víctima.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Cónyuge no separado legalmente al tiempo del accidente.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uniones conyugales de hecho consolidadas se asimilarán a las situaciones de derecho.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Se equiparan a la ausencia de cónyuge la separación legal y el divorcio. No obstante, si el cónyuge separado o divorciado tiene derecho a la pensión regulada en el art. 97 de Código Civil, le corresponderá una indemnización igual al 50 por 100 de las fijadas para el cónyuge en el grupo I.</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de concurrencia con uniones conyugales de hecho o, en su caso, de aquéllos o éstos con cónyuges no separados legalmente, la indemnización fijada para el cónyuge en el grupo I se distribuirá entre los concurrentes en proporción a la cuantía que les hubiera correspondido de no haber concurrencia.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cuantía total de la indemnización que corresponda según el número de hijos se asignará entre ellos a partes iguales.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concurriesen uno que conviviera y otro que no conviviera con la víctima se asignará a cada uno el 50 por 100 de la cuantía que figura en su respectivo concepto.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 cuantía total de la indemnización se distribuirá al 50 por 100 entre los abuelos paternos y maternos.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La cuantía total de la indemnización que corresponda según el número de hermanos se asignará entre ellos a partes iguales.</w:t>
      </w:r>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TABLA II</w:t>
      </w:r>
      <w:hyperlink r:id="rId3">
        <w:r>
          <w:rPr>
            <w:rStyle w:val="style20"/>
            <w:rFonts w:ascii="Verdana" w:cs="Times New Roman" w:eastAsia="Times New Roman" w:hAnsi="Verdana"/>
            <w:b/>
            <w:bCs/>
            <w:color w:val="0087AD"/>
            <w:sz w:val="17"/>
            <w:u w:val="single"/>
            <w:lang w:eastAsia="es-ES"/>
          </w:rPr>
          <w:t> EDL 2004/152063</w:t>
        </w:r>
      </w:hyperlink>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Factores de corrección para las indemnizaciones básicas por muerte</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5103"/>
        <w:gridCol w:w="1562"/>
        <w:gridCol w:w="1464"/>
      </w:tblGrid>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5" w:name="LOC_ANX.UN#TAB.1"/>
            <w:bookmarkStart w:id="6" w:name="LOC_ANX.UN.TAB.1"/>
            <w:bookmarkEnd w:id="5"/>
            <w:bookmarkEnd w:id="6"/>
            <w:r>
              <w:rPr>
                <w:rFonts w:ascii="Times New Roman" w:cs="Times New Roman" w:eastAsia="Times New Roman" w:hAnsi="Times New Roman"/>
                <w:b/>
                <w:bCs/>
                <w:sz w:val="14"/>
                <w:szCs w:val="14"/>
                <w:lang w:eastAsia="es-ES"/>
              </w:rPr>
              <w:t>Descripción</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Aumento</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(en porcentaje o en euros)</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Porcentaje de reducción</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Perjuicios económicos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Ingresos netos anuales de la víctima por trabajo personal:</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27.864,71 euros (1)</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10.</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27.864,72 a 55.729,41 euros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11 al 25.</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55.729,42 hasta 92.882,35 euros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26 al 50.</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Más de 92.882,35 euros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51 al 75.</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Circunstancias familiares especiales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Discapacidad física o psíquica acusada (anterior al accidente) del perjudicado/beneficiario:</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cónyuge o hijo menor</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75 al 100 (2).</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hijo mayor con menos de veinticinco años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50 al 75 (2).</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Cualquier otro perjudicado/beneficiario</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25 al 50 (2).</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Víctima hijo único</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menor</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30 al 50.</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mayor, con menos de veinticinco años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20 al 40.</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es mayor, con más de veinticinco años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10 al 25.</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Fallecimiento de ambos padres en el accidente</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Con hijos menores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75 al 100 (3).</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Sin hijos menores: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Con hijos menores de veinticinco años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25 al 75 (3).</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Sin hijos menores de veinticinco años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10 al 25 (3).</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Víctima embarazada con pérdida de feto a consecuencia del accidente</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el concebido fuera el primer hijo:</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tercer mes de embarazo</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13.932,35</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partir del tercer mes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37.152,94</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el concebido fuera el segundo hijo o posteriores: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tercer mes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9.288,23</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partir del tercer mes</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18.576,47</w:t>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510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Elementos correctores del apartado primero.7 de este anexo</w:t>
            </w:r>
          </w:p>
        </w:tc>
        <w:tc>
          <w:tcPr>
            <w:tcW w:type="dxa" w:w="15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75.</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incluirá en este apartado cualquier víctima en edad laboral, aunque no se justifiquen ingresos.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Sobre la indemnización que corresponda al beneficiario discapacitado.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Sobre la indemnización básica que corresponda a cada perjudicado.</w:t>
      </w:r>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TABLA III</w:t>
      </w:r>
      <w:hyperlink r:id="rId4">
        <w:r>
          <w:rPr>
            <w:rStyle w:val="style20"/>
            <w:rFonts w:ascii="Verdana" w:cs="Times New Roman" w:eastAsia="Times New Roman" w:hAnsi="Verdana"/>
            <w:b/>
            <w:bCs/>
            <w:color w:val="0087AD"/>
            <w:sz w:val="17"/>
            <w:u w:val="single"/>
            <w:lang w:eastAsia="es-ES"/>
          </w:rPr>
          <w:t> EDL 2004/152063</w:t>
        </w:r>
      </w:hyperlink>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Indemnizaciones básicas por lesiones permanentes (incluidos daños morales)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Valores del punto en euros</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427"/>
        <w:gridCol w:w="883"/>
        <w:gridCol w:w="977"/>
        <w:gridCol w:w="976"/>
        <w:gridCol w:w="976"/>
        <w:gridCol w:w="964"/>
      </w:tblGrid>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7" w:name="LOC_ANX.UN#TAB.2"/>
            <w:bookmarkStart w:id="8" w:name="LOC_ANX.UN.TAB.2"/>
            <w:bookmarkEnd w:id="7"/>
            <w:bookmarkEnd w:id="8"/>
            <w:r>
              <w:rPr>
                <w:rFonts w:ascii="Times New Roman" w:cs="Times New Roman" w:eastAsia="Times New Roman" w:hAnsi="Times New Roman"/>
                <w:b/>
                <w:bCs/>
                <w:sz w:val="14"/>
                <w:szCs w:val="14"/>
                <w:lang w:eastAsia="es-ES"/>
              </w:rPr>
              <w:t>Puntos</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Hasta 20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 2012</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De 21 a 40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 2012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De 41 a 55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 2012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De 56 a 65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 2012</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Más de 65 años</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 2012</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825,90</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764,61</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703,30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647,45</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579,50</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851,38</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786,44</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721,50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665,37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588,69</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874,26</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805,99</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737,68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681,37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597,96</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894,54</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823,20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751,82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695,44</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602,98</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912,21</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838,09</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763,94</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707,59</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608,11</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927,29</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850,67</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774,04</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717,79</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611,90</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947,22</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867,78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788,32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731,84</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619,21</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965,17</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883,16</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801,09</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744,45</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625,51</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981,21</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896,78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812,33</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755,60</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630,78</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10-14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995,29</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908,67</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822,07</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765,32</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635,06</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15-19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1.169,73</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1.070,68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971,61</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901,07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708,69</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20-24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1.329,94</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1.219,48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1.109,00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1.025,77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775,94</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25-29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1.489,84</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1.367,86</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1.245,90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1.150,17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844,62</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30-34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1.639,53</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1.506,81</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1.374,09</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1.266,63</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908,69</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35-39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1.779,25</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1.636,52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1.493,78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1.375,37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968,30</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40-44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1.909,30</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1.757,26</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1.605,22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1.476,56</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1.023,58</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45-49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2.029,89</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1.869,24</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1.708,60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1.570,41</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1.074,60</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50-54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2.141,32</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1.972,72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1.804,12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1.657,14</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1.121,48</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55-59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2.289,56</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2.110,09</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1.930,60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1.772,33</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1.188,12</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60-64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2.434,89</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2.244,76</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2.054,64</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1.885,27</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1.253,43</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65-69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2.577,40</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2.376,80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2.176,22</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1.996,01</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1.317,48</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70-74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2.717,09</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2.506,25</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2.295,43</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2.104,56</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1.380,26</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75-79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2.854,03</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2.633,16</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2.412,30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2.210,99</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1.441,81</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80-84</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2.988,32</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2.757,58</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2.526,87</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2.315,35</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1.502,16</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85-89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3.119,93</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2.879,57</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2.639,21</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2.417,63</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1.561,33</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90-99</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3.249,01</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2.999,17</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2.749,33</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2.517,93</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1.619,34</w:t>
            </w:r>
          </w:p>
        </w:tc>
      </w:tr>
      <w:tr>
        <w:trPr>
          <w:cantSplit w:val="false"/>
        </w:trPr>
        <w:tc>
          <w:tcPr>
            <w:tcW w:type="dxa" w:w="42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100</w:t>
            </w:r>
          </w:p>
        </w:tc>
        <w:tc>
          <w:tcPr>
            <w:tcW w:type="dxa" w:w="8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3.375,53</w:t>
            </w:r>
          </w:p>
        </w:tc>
        <w:tc>
          <w:tcPr>
            <w:tcW w:type="dxa" w:w="97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3.116,41</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2.857,30</w:t>
            </w:r>
          </w:p>
        </w:tc>
        <w:tc>
          <w:tcPr>
            <w:tcW w:type="dxa" w:w="9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2.616,30</w:t>
            </w:r>
          </w:p>
        </w:tc>
        <w:tc>
          <w:tcPr>
            <w:tcW w:type="dxa" w:w="96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1.676,21</w:t>
            </w:r>
          </w:p>
        </w:tc>
      </w:tr>
    </w:tbl>
    <w:p>
      <w:pPr>
        <w:pStyle w:val="style0"/>
        <w:shd w:fill="FFFFFF" w:val="clear"/>
        <w:spacing w:after="28" w:before="28" w:line="300" w:lineRule="atLeast"/>
        <w:jc w:val="both"/>
      </w:pPr>
      <w:r>
        <w:rPr>
          <w:rFonts w:ascii="Verdana" w:cs="Times New Roman" w:eastAsia="Times New Roman" w:hAnsi="Verdana"/>
          <w:b/>
          <w:bCs/>
          <w:color w:val="525252"/>
          <w:sz w:val="17"/>
          <w:lang w:eastAsia="es-ES"/>
        </w:rPr>
        <w:t>TABLA IV</w:t>
      </w:r>
      <w:hyperlink r:id="rId5">
        <w:r>
          <w:rPr>
            <w:rStyle w:val="style20"/>
            <w:rFonts w:ascii="Verdana" w:cs="Times New Roman" w:eastAsia="Times New Roman" w:hAnsi="Verdana"/>
            <w:b/>
            <w:bCs/>
            <w:color w:val="0087AD"/>
            <w:sz w:val="17"/>
            <w:u w:val="single"/>
            <w:lang w:eastAsia="es-ES"/>
          </w:rPr>
          <w:t> EDL 2004/152063</w:t>
        </w:r>
      </w:hyperlink>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Factores de corrección para las indemnizaciones básicas por lesiones permanentes</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6481"/>
        <w:gridCol w:w="1032"/>
        <w:gridCol w:w="1007"/>
      </w:tblGrid>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9" w:name="LOC_ANX.UN#TAB.3"/>
            <w:bookmarkStart w:id="10" w:name="LOC_ANX.UN.TAB.3"/>
            <w:bookmarkEnd w:id="9"/>
            <w:bookmarkEnd w:id="10"/>
            <w:r>
              <w:rPr>
                <w:rFonts w:ascii="Times New Roman" w:cs="Times New Roman" w:eastAsia="Times New Roman" w:hAnsi="Times New Roman"/>
                <w:b/>
                <w:bCs/>
                <w:sz w:val="14"/>
                <w:szCs w:val="14"/>
                <w:lang w:eastAsia="es-ES"/>
              </w:rPr>
              <w:t>Descripción</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Aumento</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(en porcentaje o en euros)</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Porcentaje de reducción</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Perjuicios económicos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Ingresos netos de la víctima por trabajo personal:</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27.864,71 euros (1).</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10.</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27.864,72 a 55.729,41 euros.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11 al 25.</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55.729,42 hasta 92.882,35 euros.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26 al 50.</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Más de 92.882,35 euros.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51 al 75.</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Daños morales complementarios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Se entenderán ocasionados cuando una sola secuela exceda de 75 puntos o las concurrentes superen los 90 puntos. Sólo en estos casos será aplicable.</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92.882,35.</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Lesiones permanentes que constituyan una incapacidad para la ocupación o actividad habitual de la víctima</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Permanente parcial:</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Con secuelas permanentes que limiten parcialmente la ocupación o actividad habitual, sin impedir la realización de las tareas fundamentales de la misma.</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18.576,47.</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Permanente total:</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Con secuelas permanentes que impidan totalmente la realización de las tareas de la ocupación o actividad habitual del incapacitado</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18.576,48 a 92.882,35.</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Permanente absoluta:</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Con secuelas que inhabiliten al incapacitado para la realización de cualquier ocupación o actividad.</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92.882,36 a 185.764,70.</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Grandes inválidos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Personas afectadas con secuelas permanentes que requieren la ayuda de otras personas para realizar las actividades más esenciales de la vida diaria, como vestirse, desplazarse, comer o análogas (tetraplejías, paraplejías, estados de coma vigil o vegetativos crónicos, importantes secuelas neurológicas o neuropsiquiátricas con graves alteraciones mentales o psíquicas, ceguera completa, etc.):</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Necesidad de ayuda de otra persona:</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Ponderando la edad de la víctima y grado de incapacidad para realizar las actividades más esenciales de la vida. Se asimilan a esta prestación el coste de la asistencia en los casos de estados de coma vigil o vegetativos crónicos.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371.529,39.</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Adecuación de la vivienda</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Según características de la vivienda y circunstancias del incapacitado, en función de sus necesidades.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92.882,35.</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Perjuicios morales de familiares: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Destinados a familiares próximos al incapacitado en atención a la sustancial alteración de la vida y convivencia derivada de los cuidados y atención continuada, según circunstancias.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139.323,53.</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Embarazada con pérdida de feto a consecuencia del accidente (2)</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el concebido fuera el primer hijo:</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tercer mes de embarazo.</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13.932,36.</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partir del tercer mes.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37.152,94.</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 el concebido fuera el segundo hijo o posteriores: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tercer mes de embarazo.</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9.288,23.</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A partir del tercer mes.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18.576,47.</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Elementos correctores del apartado primero.7 de este anexo.</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Según circunstancias.</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Según circunstancias.</w:t>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i/>
                <w:iCs/>
                <w:sz w:val="14"/>
                <w:lang w:eastAsia="es-ES"/>
              </w:rPr>
              <w:t>Adecuación del vehículo propio</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648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Según características del vehículo y circunstancias del incapacitado permanente, en función de sus necesidades.</w:t>
            </w:r>
          </w:p>
        </w:tc>
        <w:tc>
          <w:tcPr>
            <w:tcW w:type="dxa" w:w="103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27.864,70.</w:t>
            </w:r>
          </w:p>
        </w:tc>
        <w:tc>
          <w:tcPr>
            <w:tcW w:type="dxa" w:w="100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incluirá en este apartado cualquier víctima en edad laboral, aunque no se justifiquen ingresos.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Habrá lugar a la percepción de esta indemnización, aunque la embarazada no haya sufrido lesiones.</w:t>
      </w:r>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TABLA V</w:t>
      </w:r>
      <w:hyperlink r:id="rId6">
        <w:r>
          <w:rPr>
            <w:rStyle w:val="style20"/>
            <w:rFonts w:ascii="Verdana" w:cs="Times New Roman" w:eastAsia="Times New Roman" w:hAnsi="Verdana"/>
            <w:b/>
            <w:bCs/>
            <w:color w:val="0087AD"/>
            <w:sz w:val="17"/>
            <w:u w:val="single"/>
            <w:lang w:eastAsia="es-ES"/>
          </w:rPr>
          <w:t> EDL 2004/152063</w:t>
        </w:r>
      </w:hyperlink>
    </w:p>
    <w:p>
      <w:pPr>
        <w:pStyle w:val="style0"/>
        <w:shd w:fill="FFFFFF" w:val="clear"/>
        <w:spacing w:after="28" w:before="28" w:line="300" w:lineRule="atLeast"/>
        <w:jc w:val="both"/>
      </w:pPr>
      <w:r>
        <w:rPr>
          <w:rFonts w:ascii="Verdana" w:cs="Times New Roman" w:eastAsia="Times New Roman" w:hAnsi="Verdana"/>
          <w:b/>
          <w:bCs/>
          <w:color w:val="525252"/>
          <w:sz w:val="17"/>
          <w:lang w:eastAsia="es-ES"/>
        </w:rPr>
        <w:t>Indemnizaciones por incapacidad temporal (compatibles con otras indemnizaciones)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Indemnización básica (incluidos daños morales):</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1776"/>
        <w:gridCol w:w="1329"/>
      </w:tblGrid>
      <w:tr>
        <w:trPr>
          <w:cantSplit w:val="false"/>
        </w:trPr>
        <w:tc>
          <w:tcPr>
            <w:tcW w:type="dxa" w:w="17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11" w:name="LOC_ANX.UN#TAB.4"/>
            <w:bookmarkStart w:id="12" w:name="LOC_ANX.UN.TAB.4"/>
            <w:bookmarkEnd w:id="11"/>
            <w:bookmarkEnd w:id="12"/>
            <w:r>
              <w:rPr>
                <w:rFonts w:ascii="Times New Roman" w:cs="Times New Roman" w:eastAsia="Times New Roman" w:hAnsi="Times New Roman"/>
                <w:b/>
                <w:bCs/>
                <w:sz w:val="14"/>
                <w:szCs w:val="14"/>
                <w:lang w:eastAsia="es-ES"/>
              </w:rPr>
              <w:t>Día de baja</w:t>
            </w:r>
          </w:p>
        </w:tc>
        <w:tc>
          <w:tcPr>
            <w:tcW w:type="dxa" w:w="1329"/>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Indemnización diaria</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w:t>
            </w:r>
            <w:r>
              <w:rPr>
                <w:rFonts w:ascii="Times New Roman" w:cs="Times New Roman" w:eastAsia="Times New Roman" w:hAnsi="Times New Roman"/>
                <w:b/>
                <w:bCs/>
                <w:sz w:val="14"/>
                <w:lang w:eastAsia="es-ES"/>
              </w:rPr>
              <w:t> </w:t>
            </w:r>
            <w:r>
              <w:rPr>
                <w:rFonts w:ascii="Times New Roman" w:cs="Times New Roman" w:eastAsia="Times New Roman" w:hAnsi="Times New Roman"/>
                <w:b/>
                <w:bCs/>
                <w:sz w:val="14"/>
                <w:szCs w:val="14"/>
                <w:lang w:eastAsia="es-ES"/>
              </w:rPr>
              <w:br/>
              <w:t>Euros</w:t>
            </w:r>
          </w:p>
        </w:tc>
      </w:tr>
      <w:tr>
        <w:trPr>
          <w:cantSplit w:val="false"/>
        </w:trPr>
        <w:tc>
          <w:tcPr>
            <w:tcW w:type="dxa" w:w="17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Durante la estancia hospitalaria</w:t>
            </w:r>
          </w:p>
        </w:tc>
        <w:tc>
          <w:tcPr>
            <w:tcW w:type="dxa" w:w="1329"/>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69,61</w:t>
            </w:r>
          </w:p>
        </w:tc>
      </w:tr>
      <w:tr>
        <w:trPr>
          <w:cantSplit w:val="false"/>
        </w:trPr>
        <w:tc>
          <w:tcPr>
            <w:tcW w:type="dxa" w:w="17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Sin estancia hospitalaria:</w:t>
            </w:r>
          </w:p>
        </w:tc>
        <w:tc>
          <w:tcPr>
            <w:tcW w:type="dxa" w:w="1329"/>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17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Impeditivo (1)</w:t>
            </w:r>
          </w:p>
        </w:tc>
        <w:tc>
          <w:tcPr>
            <w:tcW w:type="dxa" w:w="1329"/>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56,60</w:t>
            </w:r>
          </w:p>
        </w:tc>
      </w:tr>
      <w:tr>
        <w:trPr>
          <w:cantSplit w:val="false"/>
        </w:trPr>
        <w:tc>
          <w:tcPr>
            <w:tcW w:type="dxa" w:w="177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No Impeditivo</w:t>
            </w:r>
          </w:p>
        </w:tc>
        <w:tc>
          <w:tcPr>
            <w:tcW w:type="dxa" w:w="1329"/>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30,46</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entiende por día de baja impeditivo aquél en que la víctima está incapacitada para desarrollar su ocupación o actividad habitual.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Factores de corrección:</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4252"/>
        <w:gridCol w:w="1271"/>
        <w:gridCol w:w="1483"/>
      </w:tblGrid>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13" w:name="LOC_ANX.UN#TAB.5"/>
            <w:bookmarkStart w:id="14" w:name="LOC_ANX.UN.TAB.5"/>
            <w:bookmarkEnd w:id="13"/>
            <w:bookmarkEnd w:id="14"/>
            <w:r>
              <w:rPr>
                <w:rFonts w:ascii="Times New Roman" w:cs="Times New Roman" w:eastAsia="Times New Roman" w:hAnsi="Times New Roman"/>
                <w:b/>
                <w:bCs/>
                <w:sz w:val="14"/>
                <w:szCs w:val="14"/>
                <w:lang w:eastAsia="es-ES"/>
              </w:rPr>
              <w:t>Descripción</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Porcentajes aumento</w:t>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szCs w:val="14"/>
                <w:lang w:eastAsia="es-ES"/>
              </w:rPr>
              <w:t>Porcentajes disminución</w:t>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Perjuicios económicos</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Ingresos netos anuales de la víctima por trabajo personal:</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27.864,71 euros</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10.</w:t>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27.864,72 a 55.729,41 euros</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11 al 25.</w:t>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 55.729,42 hasta 92.882,35 euros</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26 al 50.</w:t>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Más de 92.882,35 euros</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Del 51 al 75.</w:t>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r>
      <w:tr>
        <w:trPr>
          <w:cantSplit w:val="false"/>
        </w:trPr>
        <w:tc>
          <w:tcPr>
            <w:tcW w:type="dxa" w:w="425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Elementos correctores de disminución del apartado primero.7 de este anexo</w:t>
            </w:r>
          </w:p>
        </w:tc>
        <w:tc>
          <w:tcPr>
            <w:tcW w:type="dxa" w:w="1271"/>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w:t>
            </w:r>
          </w:p>
        </w:tc>
        <w:tc>
          <w:tcPr>
            <w:tcW w:type="dxa" w:w="148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Hasta el 75.</w:t>
            </w:r>
          </w:p>
        </w:tc>
      </w:tr>
    </w:tbl>
    <w:p>
      <w:pPr>
        <w:pStyle w:val="style0"/>
        <w:spacing w:after="0" w:before="0" w:line="100" w:lineRule="atLeast"/>
      </w:pPr>
      <w:r>
        <w:rPr>
          <w:rFonts w:ascii="Verdana" w:cs="Times New Roman" w:eastAsia="Times New Roman" w:hAnsi="Verdana"/>
          <w:color w:val="525252"/>
          <w:sz w:val="17"/>
          <w:szCs w:val="17"/>
          <w:lang w:eastAsia="es-ES"/>
        </w:rPr>
        <w:br/>
      </w:r>
    </w:p>
    <w:p>
      <w:pPr>
        <w:pStyle w:val="style0"/>
        <w:shd w:fill="FFFFFF" w:val="clear"/>
        <w:spacing w:after="28" w:before="28" w:line="100" w:lineRule="atLeast"/>
        <w:jc w:val="center"/>
      </w:pPr>
      <w:r>
        <w:rPr>
          <w:rFonts w:ascii="Verdana" w:cs="Times New Roman" w:eastAsia="Times New Roman" w:hAnsi="Verdana"/>
          <w:color w:val="777777"/>
          <w:sz w:val="15"/>
          <w:szCs w:val="15"/>
          <w:lang w:eastAsia="es-ES"/>
        </w:rPr>
        <w:t>Grupo Editorial El Derecho y Quantor S.L. © Copyright 2010. Todos los derechos reservados.</w:t>
      </w:r>
      <w:r>
        <w:rPr>
          <w:rFonts w:ascii="Verdana" w:cs="Times New Roman" w:eastAsia="Times New Roman" w:hAnsi="Verdana"/>
          <w:color w:val="777777"/>
          <w:sz w:val="15"/>
          <w:lang w:eastAsia="es-ES"/>
        </w:rPr>
        <w:t> </w:t>
      </w:r>
      <w:hyperlink r:id="rId7">
        <w:r>
          <w:rPr>
            <w:rStyle w:val="style20"/>
            <w:rFonts w:ascii="Verdana" w:cs="Times New Roman" w:eastAsia="Times New Roman" w:hAnsi="Verdana"/>
            <w:color w:val="777777"/>
            <w:sz w:val="15"/>
            <w:u w:val="single"/>
            <w:lang w:eastAsia="es-ES"/>
          </w:rPr>
          <w:t>Aviso legal</w:t>
        </w:r>
      </w:hyperlink>
    </w:p>
    <w:p>
      <w:pPr>
        <w:pStyle w:val="style0"/>
      </w:pPr>
      <w:r>
        <w:rPr/>
      </w:r>
    </w:p>
    <w:sectPr>
      <w:headerReference r:id="rId8"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sz w:val="12"/>
        <w:szCs w:val="12"/>
      </w:rPr>
      <w:t>G.Elias y Muñoz Abogados. Abogados Madrid, Abogados Majadahonda, Despacho de Abogados Madrid</w:t>
    </w:r>
  </w:p>
  <w:p>
    <w:pPr>
      <w:pStyle w:val="style35"/>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folder"/>
    <w:basedOn w:val="style15"/>
    <w:next w:val="style16"/>
    <w:rPr/>
  </w:style>
  <w:style w:styleId="style17" w:type="character">
    <w:name w:val="mayor"/>
    <w:basedOn w:val="style15"/>
    <w:next w:val="style17"/>
    <w:rPr/>
  </w:style>
  <w:style w:styleId="style18" w:type="character">
    <w:name w:val="apple-converted-space"/>
    <w:basedOn w:val="style15"/>
    <w:next w:val="style18"/>
    <w:rPr/>
  </w:style>
  <w:style w:styleId="style19" w:type="character">
    <w:name w:val="Muy destacado"/>
    <w:basedOn w:val="style15"/>
    <w:next w:val="style19"/>
    <w:rPr>
      <w:b/>
      <w:bCs/>
    </w:rPr>
  </w:style>
  <w:style w:styleId="style20" w:type="character">
    <w:name w:val="Enlace de Internet"/>
    <w:basedOn w:val="style15"/>
    <w:next w:val="style20"/>
    <w:rPr>
      <w:color w:val="0000FF"/>
      <w:u w:val="single"/>
      <w:lang w:bidi="es-ES" w:eastAsia="es-ES" w:val="es-ES"/>
    </w:rPr>
  </w:style>
  <w:style w:styleId="style21" w:type="character">
    <w:name w:val="Destacado"/>
    <w:basedOn w:val="style15"/>
    <w:next w:val="style21"/>
    <w:rPr>
      <w:i/>
      <w:iCs/>
    </w:rPr>
  </w:style>
  <w:style w:styleId="style22" w:type="character">
    <w:name w:val="Encabezado Car"/>
    <w:basedOn w:val="style15"/>
    <w:next w:val="style22"/>
    <w:rPr/>
  </w:style>
  <w:style w:styleId="style23" w:type="character">
    <w:name w:val="Pie de página Car"/>
    <w:basedOn w:val="style15"/>
    <w:next w:val="style23"/>
    <w:rPr/>
  </w:style>
  <w:style w:styleId="style24" w:type="character">
    <w:name w:val="ListLabel 1"/>
    <w:next w:val="style24"/>
    <w:rPr>
      <w:sz w:val="20"/>
    </w:rPr>
  </w:style>
  <w:style w:styleId="style25" w:type="paragraph">
    <w:name w:val="Encabezado"/>
    <w:basedOn w:val="style0"/>
    <w:next w:val="style26"/>
    <w:pPr>
      <w:keepNext/>
      <w:spacing w:after="120" w:before="240"/>
    </w:pPr>
    <w:rPr>
      <w:rFonts w:ascii="Liberation Sans" w:cs="Lohit Devanagari" w:eastAsia="WenQuanYi Zen Hei Sharp" w:hAnsi="Liberation Sans"/>
      <w:sz w:val="28"/>
      <w:szCs w:val="28"/>
    </w:rPr>
  </w:style>
  <w:style w:styleId="style26" w:type="paragraph">
    <w:name w:val="Cuerpo de texto"/>
    <w:basedOn w:val="style0"/>
    <w:next w:val="style26"/>
    <w:pPr>
      <w:spacing w:after="120" w:before="0"/>
    </w:pPr>
    <w:rPr/>
  </w:style>
  <w:style w:styleId="style27" w:type="paragraph">
    <w:name w:val="Lista"/>
    <w:basedOn w:val="style26"/>
    <w:next w:val="style27"/>
    <w:pPr/>
    <w:rPr>
      <w:rFonts w:cs="Lohit Devanagari"/>
    </w:rPr>
  </w:style>
  <w:style w:styleId="style28" w:type="paragraph">
    <w:name w:val="Etiqueta"/>
    <w:basedOn w:val="style0"/>
    <w:next w:val="style28"/>
    <w:pPr>
      <w:suppressLineNumbers/>
      <w:spacing w:after="120" w:before="120"/>
    </w:pPr>
    <w:rPr>
      <w:rFonts w:cs="Lohit Devanagari"/>
      <w:i/>
      <w:iCs/>
      <w:sz w:val="24"/>
      <w:szCs w:val="24"/>
    </w:rPr>
  </w:style>
  <w:style w:styleId="style29" w:type="paragraph">
    <w:name w:val="Índice"/>
    <w:basedOn w:val="style0"/>
    <w:next w:val="style29"/>
    <w:pPr>
      <w:suppressLineNumbers/>
    </w:pPr>
    <w:rPr>
      <w:rFonts w:cs="Lohit Devanagari"/>
    </w:rPr>
  </w:style>
  <w:style w:styleId="style30" w:type="paragraph">
    <w:name w:val="entrada"/>
    <w:basedOn w:val="style0"/>
    <w:next w:val="style30"/>
    <w:pPr>
      <w:spacing w:after="28" w:before="28" w:line="100" w:lineRule="atLeast"/>
    </w:pPr>
    <w:rPr>
      <w:rFonts w:ascii="Times New Roman" w:cs="Times New Roman" w:eastAsia="Times New Roman" w:hAnsi="Times New Roman"/>
      <w:sz w:val="24"/>
      <w:szCs w:val="24"/>
      <w:lang w:eastAsia="es-ES"/>
    </w:rPr>
  </w:style>
  <w:style w:styleId="style31" w:type="paragraph">
    <w:name w:val="entrada_2"/>
    <w:basedOn w:val="style0"/>
    <w:next w:val="style31"/>
    <w:pPr>
      <w:spacing w:after="28" w:before="28" w:line="100" w:lineRule="atLeast"/>
    </w:pPr>
    <w:rPr>
      <w:rFonts w:ascii="Times New Roman" w:cs="Times New Roman" w:eastAsia="Times New Roman" w:hAnsi="Times New Roman"/>
      <w:sz w:val="24"/>
      <w:szCs w:val="24"/>
      <w:lang w:eastAsia="es-ES"/>
    </w:rPr>
  </w:style>
  <w:style w:styleId="style32" w:type="paragraph">
    <w:name w:val="fuente"/>
    <w:basedOn w:val="style0"/>
    <w:next w:val="style32"/>
    <w:pPr>
      <w:spacing w:after="28" w:before="28" w:line="100" w:lineRule="atLeast"/>
    </w:pPr>
    <w:rPr>
      <w:rFonts w:ascii="Times New Roman" w:cs="Times New Roman" w:eastAsia="Times New Roman" w:hAnsi="Times New Roman"/>
      <w:sz w:val="24"/>
      <w:szCs w:val="24"/>
      <w:lang w:eastAsia="es-ES"/>
    </w:rPr>
  </w:style>
  <w:style w:styleId="style33" w:type="paragraph">
    <w:name w:val="Normal (Web)"/>
    <w:basedOn w:val="style0"/>
    <w:next w:val="style33"/>
    <w:pPr>
      <w:spacing w:after="28" w:before="28" w:line="100" w:lineRule="atLeast"/>
    </w:pPr>
    <w:rPr>
      <w:rFonts w:ascii="Times New Roman" w:cs="Times New Roman" w:eastAsia="Times New Roman" w:hAnsi="Times New Roman"/>
      <w:sz w:val="24"/>
      <w:szCs w:val="24"/>
      <w:lang w:eastAsia="es-ES"/>
    </w:rPr>
  </w:style>
  <w:style w:styleId="style34" w:type="paragraph">
    <w:name w:val="titulares"/>
    <w:basedOn w:val="style0"/>
    <w:next w:val="style34"/>
    <w:pPr>
      <w:spacing w:after="28" w:before="28" w:line="100" w:lineRule="atLeast"/>
    </w:pPr>
    <w:rPr>
      <w:rFonts w:ascii="Times New Roman" w:cs="Times New Roman" w:eastAsia="Times New Roman" w:hAnsi="Times New Roman"/>
      <w:sz w:val="24"/>
      <w:szCs w:val="24"/>
      <w:lang w:eastAsia="es-ES"/>
    </w:rPr>
  </w:style>
  <w:style w:styleId="style35" w:type="paragraph">
    <w:name w:val="Encabezamiento"/>
    <w:basedOn w:val="style0"/>
    <w:next w:val="style35"/>
    <w:pPr>
      <w:suppressLineNumbers/>
      <w:tabs>
        <w:tab w:leader="none" w:pos="4252" w:val="center"/>
        <w:tab w:leader="none" w:pos="8504" w:val="right"/>
      </w:tabs>
      <w:spacing w:after="0" w:before="0" w:line="100" w:lineRule="atLeast"/>
    </w:pPr>
    <w:rPr/>
  </w:style>
  <w:style w:styleId="style36" w:type="paragraph">
    <w:name w:val="Pie de página"/>
    <w:basedOn w:val="style0"/>
    <w:next w:val="style36"/>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TargetMode="External"/><Relationship Id="rId3" Type="http://schemas.openxmlformats.org/officeDocument/2006/relationships/hyperlink" Target="javascript:" TargetMode="External"/><Relationship Id="rId4" Type="http://schemas.openxmlformats.org/officeDocument/2006/relationships/hyperlink" Target="javascript:" TargetMode="External"/><Relationship Id="rId5" Type="http://schemas.openxmlformats.org/officeDocument/2006/relationships/hyperlink" Target="javascript:" TargetMode="External"/><Relationship Id="rId6" Type="http://schemas.openxmlformats.org/officeDocument/2006/relationships/hyperlink" Target="javascript:" TargetMode="External"/><Relationship Id="rId7" Type="http://schemas.openxmlformats.org/officeDocument/2006/relationships/hyperlink" Target="http://www.elderecho.com/aviso_legal.html"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2012-02-20T09:57:00.00Z</dcterms:created>
  <dc:creator>Vicente Garcia Elias</dc:creator>
  <cp:lastModifiedBy>Vicente Garcia Elias</cp:lastModifiedBy>
  <dcterms:modified xsi:type="dcterms:W3CDTF">2012-02-20T09:59:00.00Z</dcterms:modified>
  <cp:revision>1</cp:revision>
</cp:coreProperties>
</file>